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24C9B">
      <w:pPr>
        <w:keepNext/>
        <w:pBdr>
          <w:bottom w:val="single" w:color="1F3A5F" w:sz="8" w:space="4"/>
        </w:pBdr>
        <w:spacing w:before="240" w:after="160"/>
      </w:pPr>
      <w:r>
        <w:rPr>
          <w:rFonts w:ascii="Calibri" w:hAnsi="Calibri" w:eastAsia="Calibri" w:cs="Calibri"/>
          <w:b/>
          <w:bCs/>
          <w:color w:val="1F3A5F"/>
          <w:sz w:val="26"/>
          <w:szCs w:val="26"/>
        </w:rPr>
        <w:t>Journal articles &amp; conference papers</w:t>
      </w:r>
    </w:p>
    <w:tbl>
      <w:tblPr>
        <w:tblStyle w:val="9"/>
        <w:tblW w:w="9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60"/>
        <w:gridCol w:w="6900"/>
        <w:gridCol w:w="1000"/>
        <w:gridCol w:w="1406"/>
      </w:tblGrid>
      <w:tr w14:paraId="471FA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247B68B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#</w:t>
            </w:r>
          </w:p>
        </w:tc>
        <w:tc>
          <w:tcPr>
            <w:tcW w:w="6900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408B1EE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Reference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727453FB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Year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6164FB2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Cited by</w:t>
            </w:r>
          </w:p>
        </w:tc>
      </w:tr>
      <w:tr w14:paraId="61763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3D3973C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1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766AA321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Detection of stress corrosion cracking of high-strength steel used in prestressed concrete structures by acoustic emission technique.</w:t>
            </w:r>
          </w:p>
          <w:p w14:paraId="64337D37">
            <w:pPr>
              <w:spacing w:after="20"/>
            </w:pP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L Gaillet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C Tessier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H Idrissi.</w:t>
            </w:r>
          </w:p>
          <w:p w14:paraId="4C1DB4AE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Applied Surface Science 254 (8), 2255-2261.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79A85B9B">
            <w:r>
              <w:rPr>
                <w:rFonts w:ascii="Calibri" w:hAnsi="Calibri" w:eastAsia="Calibri" w:cs="Calibri"/>
                <w:sz w:val="20"/>
                <w:szCs w:val="20"/>
              </w:rPr>
              <w:t>2008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6CCCB58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209</w:t>
            </w:r>
          </w:p>
        </w:tc>
      </w:tr>
      <w:tr w14:paraId="21E70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B6280FE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2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A8F73A0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Assessment of the stress corrosion cracking in a chloride medium of cables used in prestressed concrete structures by the acoustic emission technique.</w:t>
            </w:r>
          </w:p>
          <w:p w14:paraId="5327415E">
            <w:pPr>
              <w:spacing w:after="20"/>
            </w:pP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L Gaillet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C Tessier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H Idrissi.</w:t>
            </w:r>
          </w:p>
          <w:p w14:paraId="531225A6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Measurement Science and Technology 19(11), 115702.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763DA276">
            <w:r>
              <w:rPr>
                <w:rFonts w:ascii="Calibri" w:hAnsi="Calibri" w:eastAsia="Calibri" w:cs="Calibri"/>
                <w:sz w:val="20"/>
                <w:szCs w:val="20"/>
              </w:rPr>
              <w:t>2008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390F604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44</w:t>
            </w:r>
          </w:p>
        </w:tc>
      </w:tr>
      <w:tr w14:paraId="3C05F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C6313B9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3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C24A0EC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Baseline subtraction technique in the frequency–wavenumber domain for high sensitivity damage detection.</w:t>
            </w:r>
          </w:p>
          <w:p w14:paraId="3D1E9138">
            <w:pPr>
              <w:spacing w:after="20"/>
            </w:pP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P McKeon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S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NF Declercq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WK Yaacoubi.</w:t>
            </w:r>
          </w:p>
          <w:p w14:paraId="25D07384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Ultrasonics 54 (2), 592-603.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725C1535">
            <w:r>
              <w:rPr>
                <w:rFonts w:ascii="Calibri" w:hAnsi="Calibri" w:eastAsia="Calibri" w:cs="Calibri"/>
                <w:sz w:val="20"/>
                <w:szCs w:val="20"/>
              </w:rPr>
              <w:t>2014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1D45A49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30</w:t>
            </w:r>
          </w:p>
        </w:tc>
      </w:tr>
      <w:tr w14:paraId="34C96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A25D0D1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4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8CF369D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In situ monitoring of deposition and dissolution of calcium carbonate by acoustic emission techniques associated to electrochemical measurements.</w:t>
            </w:r>
          </w:p>
          <w:p w14:paraId="574840B1">
            <w:pPr>
              <w:spacing w:after="20"/>
            </w:pP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H Idrissi.</w:t>
            </w:r>
          </w:p>
          <w:p w14:paraId="79B9BA83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Desalination 219 (1-3), 358-366.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C9EF1B5">
            <w:r>
              <w:rPr>
                <w:rFonts w:ascii="Calibri" w:hAnsi="Calibri" w:eastAsia="Calibri" w:cs="Calibri"/>
                <w:sz w:val="20"/>
                <w:szCs w:val="20"/>
              </w:rPr>
              <w:t>2008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64374E76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21</w:t>
            </w:r>
          </w:p>
        </w:tc>
      </w:tr>
      <w:tr w14:paraId="67BC5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180B2FC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5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73EB6D5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Modern concept of acoustic emission (AE) coupled with electrochemical measurements for monitoring the elastomer-coated carbon steel damage in phosphoric acid medium.</w:t>
            </w:r>
          </w:p>
          <w:p w14:paraId="131BBD6F">
            <w:pPr>
              <w:spacing w:after="20"/>
            </w:pP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H Idrissi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J Maghnouj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R Boulif.</w:t>
            </w:r>
          </w:p>
          <w:p w14:paraId="7156DFB3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Progress in Organic Coatings 63 (4), 382-388.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71FD67A">
            <w:r>
              <w:rPr>
                <w:rFonts w:ascii="Calibri" w:hAnsi="Calibri" w:eastAsia="Calibri" w:cs="Calibri"/>
                <w:sz w:val="20"/>
                <w:szCs w:val="20"/>
              </w:rPr>
              <w:t>2008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CC67DC4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19</w:t>
            </w:r>
          </w:p>
        </w:tc>
      </w:tr>
      <w:tr w14:paraId="43735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FAD5BE4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6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B6B2084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Contribution of acoustic emission to evaluate cable stress corrosion cracking in simulated concrete pore solution.</w:t>
            </w:r>
          </w:p>
          <w:p w14:paraId="67EF3B5E">
            <w:pPr>
              <w:spacing w:after="20"/>
            </w:pP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L Gaillet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C Tessier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H Idrissi.</w:t>
            </w:r>
          </w:p>
          <w:p w14:paraId="3ED44004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Journal of Acoustic Emission 27, 254/264.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2E8A162">
            <w:r>
              <w:rPr>
                <w:rFonts w:ascii="Calibri" w:hAnsi="Calibri" w:eastAsia="Calibri" w:cs="Calibri"/>
                <w:sz w:val="20"/>
                <w:szCs w:val="20"/>
              </w:rPr>
              <w:t>2009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E425872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14</w:t>
            </w:r>
          </w:p>
        </w:tc>
      </w:tr>
      <w:tr w14:paraId="6AC07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0353079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7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B089A77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Issues concerning using mode conversion of guided waves to size defects in plates.</w:t>
            </w:r>
          </w:p>
          <w:p w14:paraId="17C027B0">
            <w:pPr>
              <w:spacing w:after="20"/>
            </w:pP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P Mckeon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S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N Declercq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Ramadan.</w:t>
            </w:r>
          </w:p>
          <w:p w14:paraId="238274EE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Acoustics 2012.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5268E8C">
            <w:r>
              <w:rPr>
                <w:rFonts w:ascii="Calibri" w:hAnsi="Calibri" w:eastAsia="Calibri" w:cs="Calibri"/>
                <w:sz w:val="20"/>
                <w:szCs w:val="20"/>
              </w:rPr>
              <w:t>2012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D55562C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5</w:t>
            </w:r>
          </w:p>
        </w:tc>
      </w:tr>
      <w:tr w14:paraId="46C4F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9D45834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8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5CD3E7E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A modeling study of the SLOFEC™ Eddy Current system.</w:t>
            </w:r>
          </w:p>
          <w:p w14:paraId="667CB37B">
            <w:pPr>
              <w:spacing w:after="20"/>
            </w:pP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F Foucher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A Kalai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W Kelb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J Delemontez.</w:t>
            </w:r>
          </w:p>
          <w:p w14:paraId="5CC639B6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19th World Conference on Non-Destructive Testing.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65D3EC29">
            <w:r>
              <w:rPr>
                <w:rFonts w:ascii="Calibri" w:hAnsi="Calibri" w:eastAsia="Calibri" w:cs="Calibri"/>
                <w:sz w:val="20"/>
                <w:szCs w:val="20"/>
              </w:rPr>
              <w:t>2016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9ADC511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3</w:t>
            </w:r>
          </w:p>
        </w:tc>
      </w:tr>
      <w:tr w14:paraId="6AFAF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03D4147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9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CEB2BCA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On the potential use of acoustic emission testing to control composite tanks in service conditions.</w:t>
            </w:r>
          </w:p>
          <w:p w14:paraId="3A14B023">
            <w:pPr>
              <w:spacing w:after="20"/>
            </w:pP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S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D Chauveau.</w:t>
            </w:r>
          </w:p>
          <w:p w14:paraId="75FE2B1C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Proceedings of the 30th European Conference on Acoustic Emission Testing.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6062540">
            <w:r>
              <w:rPr>
                <w:rFonts w:ascii="Calibri" w:hAnsi="Calibri" w:eastAsia="Calibri" w:cs="Calibri"/>
                <w:sz w:val="20"/>
                <w:szCs w:val="20"/>
              </w:rPr>
              <w:t>2012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B5F7619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2</w:t>
            </w:r>
          </w:p>
        </w:tc>
      </w:tr>
      <w:tr w14:paraId="109E2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02907BA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10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6941536A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Comparison of finite element models simulating the interaction of ultrasonic guided waves with sites of disbonding in composites.</w:t>
            </w:r>
          </w:p>
          <w:p w14:paraId="007E820F">
            <w:pPr>
              <w:spacing w:after="20"/>
            </w:pP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P McKeon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S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NF Declercq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WK Yaacoubi.</w:t>
            </w:r>
          </w:p>
          <w:p w14:paraId="41927877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Proceedings of Meetings on Acoustics 19 (1).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525877A">
            <w:r>
              <w:rPr>
                <w:rFonts w:ascii="Calibri" w:hAnsi="Calibri" w:eastAsia="Calibri" w:cs="Calibri"/>
                <w:sz w:val="20"/>
                <w:szCs w:val="20"/>
              </w:rPr>
              <w:t>2013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7E464C0D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1</w:t>
            </w:r>
          </w:p>
        </w:tc>
      </w:tr>
      <w:tr w14:paraId="540F9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35434CB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11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ED10722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Contrôle des structures longues via les ondes guidées: application aux pipelines et tuyauteries.</w:t>
            </w:r>
          </w:p>
          <w:p w14:paraId="3AEDFDA3">
            <w:pPr>
              <w:spacing w:after="20"/>
            </w:pP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S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WK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P Dainelli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D Chauveau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F Lepiller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Ramadan.</w:t>
            </w:r>
          </w:p>
          <w:p w14:paraId="52604281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Soudage et techniques connexes 66 (9-10), 31-38.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33C9EFF">
            <w:r>
              <w:rPr>
                <w:rFonts w:ascii="Calibri" w:hAnsi="Calibri" w:eastAsia="Calibri" w:cs="Calibri"/>
                <w:sz w:val="20"/>
                <w:szCs w:val="20"/>
              </w:rPr>
              <w:t>2012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69DF9062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1</w:t>
            </w:r>
          </w:p>
        </w:tc>
      </w:tr>
      <w:tr w14:paraId="7FEC2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716C8BA3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12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C357E02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Assessment of the stress corrosion cracking of prestressing tendons by acoustic emission in high alkaline medium.</w:t>
            </w:r>
          </w:p>
          <w:p w14:paraId="7EEFD2FF">
            <w:pPr>
              <w:spacing w:after="20"/>
            </w:pP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L Gaillet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T Tessier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H Idrissi.</w:t>
            </w:r>
          </w:p>
          <w:p w14:paraId="7FD038A5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Measurement Science and Technology, 19 115702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3463ED7">
            <w:r>
              <w:rPr>
                <w:rFonts w:ascii="Calibri" w:hAnsi="Calibri" w:eastAsia="Calibri" w:cs="Calibri"/>
                <w:sz w:val="20"/>
                <w:szCs w:val="20"/>
              </w:rPr>
              <w:t>2008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1490B5B">
            <w:pPr>
              <w:rPr>
                <w:rFonts w:hint="default"/>
                <w:lang w:val="de-DE"/>
              </w:rPr>
            </w:pPr>
            <w:r>
              <w:rPr>
                <w:rFonts w:hint="default" w:cs="Calibri"/>
                <w:color w:val="6B7280"/>
                <w:sz w:val="20"/>
                <w:szCs w:val="20"/>
                <w:lang w:val="de-DE"/>
              </w:rPr>
              <w:t>80</w:t>
            </w:r>
          </w:p>
        </w:tc>
      </w:tr>
    </w:tbl>
    <w:p w14:paraId="59DD66F5">
      <w:pPr>
        <w:keepNext/>
        <w:pBdr>
          <w:bottom w:val="single" w:color="1F3A5F" w:sz="8" w:space="4"/>
        </w:pBdr>
        <w:spacing w:before="360" w:after="160"/>
      </w:pPr>
      <w:r>
        <w:rPr>
          <w:rFonts w:ascii="Calibri" w:hAnsi="Calibri" w:eastAsia="Calibri" w:cs="Calibri"/>
          <w:b/>
          <w:bCs/>
          <w:color w:val="1F3A5F"/>
          <w:sz w:val="26"/>
          <w:szCs w:val="26"/>
        </w:rPr>
        <w:t>Other publications &amp; conferences</w:t>
      </w:r>
    </w:p>
    <w:tbl>
      <w:tblPr>
        <w:tblStyle w:val="9"/>
        <w:tblW w:w="9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60"/>
        <w:gridCol w:w="6900"/>
        <w:gridCol w:w="1000"/>
        <w:gridCol w:w="1406"/>
      </w:tblGrid>
      <w:tr w14:paraId="2F6BF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blHeader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834B7E2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#</w:t>
            </w:r>
          </w:p>
        </w:tc>
        <w:tc>
          <w:tcPr>
            <w:tcW w:w="6900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65D8F0F8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Reference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1639533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Year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EB64A9A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Cited by</w:t>
            </w:r>
          </w:p>
        </w:tc>
      </w:tr>
      <w:tr w14:paraId="46AA7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107FD0A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13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5218C72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Contribution de l'émission acoustique à l'évaluation de la santé structurelle de bouteilles composites de stockage d'hydrogène à haute pression.</w:t>
            </w:r>
          </w:p>
          <w:p w14:paraId="7C2A38B2">
            <w:pPr>
              <w:spacing w:after="20"/>
            </w:pP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S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S Bittendiebel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D Chauveau.</w:t>
            </w:r>
          </w:p>
          <w:p w14:paraId="434B972B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Soudage et techniques connexes 67 (9-10), 35-40.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0C0805C">
            <w:r>
              <w:rPr>
                <w:rFonts w:ascii="Calibri" w:hAnsi="Calibri" w:eastAsia="Calibri" w:cs="Calibri"/>
                <w:sz w:val="20"/>
                <w:szCs w:val="20"/>
              </w:rPr>
              <w:t>2013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F80A390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5C390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D7CF3BA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14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67330BFA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L'émission acoustique: Une démarche opérationnelle prometteuse vers le contrôle en service des réservoirs composites de stockage de gaz sous haute pression.</w:t>
            </w:r>
          </w:p>
          <w:p w14:paraId="62396B24">
            <w:pPr>
              <w:spacing w:after="20"/>
            </w:pP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M Riethmuller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S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F Mandouze.</w:t>
            </w:r>
          </w:p>
          <w:p w14:paraId="152834B7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Soudage et techniques connexes 66 (1-2), 33-37.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9128685">
            <w:r>
              <w:rPr>
                <w:rFonts w:ascii="Calibri" w:hAnsi="Calibri" w:eastAsia="Calibri" w:cs="Calibri"/>
                <w:sz w:val="20"/>
                <w:szCs w:val="20"/>
              </w:rPr>
              <w:t>2012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C1494C2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409B3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A154F2D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15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BAD54C2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À propos des ondes ultrasonores guidées: 2eme partie.</w:t>
            </w:r>
          </w:p>
          <w:p w14:paraId="52B8CC9B">
            <w:pPr>
              <w:spacing w:after="20"/>
            </w:pP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S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W Ke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Ramadan.</w:t>
            </w:r>
          </w:p>
          <w:p w14:paraId="37F4FD90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Soudage et techniques connexes 65 (9-10), 33-37.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7F5A3069">
            <w:r>
              <w:rPr>
                <w:rFonts w:ascii="Calibri" w:hAnsi="Calibri" w:eastAsia="Calibri" w:cs="Calibri"/>
                <w:sz w:val="20"/>
                <w:szCs w:val="20"/>
              </w:rPr>
              <w:t>2011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EDB4DD5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1CE11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7DCD84B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16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4317302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À propos des ondes ultrasonores guidées: 1ere partie.</w:t>
            </w:r>
          </w:p>
          <w:p w14:paraId="1F0D735B">
            <w:pPr>
              <w:spacing w:after="20"/>
            </w:pP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S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W Ke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Ramadan.</w:t>
            </w:r>
          </w:p>
          <w:p w14:paraId="1708A839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Soudage et techniques connexes 65 (7-8), 35-38.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12F81E4">
            <w:r>
              <w:rPr>
                <w:rFonts w:ascii="Calibri" w:hAnsi="Calibri" w:eastAsia="Calibri" w:cs="Calibri"/>
                <w:sz w:val="20"/>
                <w:szCs w:val="20"/>
              </w:rPr>
              <w:t>2011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6437C965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69C7C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72FAC68D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17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968981F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Émission acoustique.</w:t>
            </w:r>
          </w:p>
          <w:p w14:paraId="27B38F5F">
            <w:pPr>
              <w:spacing w:after="20"/>
            </w:pP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M Riethmuller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S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D Chauveau.</w:t>
            </w:r>
          </w:p>
          <w:p w14:paraId="78BE5D64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Soudage et techniques connexes 64 (11-12), 41-46.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DBFEC8D">
            <w:r>
              <w:rPr>
                <w:rFonts w:ascii="Calibri" w:hAnsi="Calibri" w:eastAsia="Calibri" w:cs="Calibri"/>
                <w:sz w:val="20"/>
                <w:szCs w:val="20"/>
              </w:rPr>
              <w:t>2010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C11A0A4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27228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30448D2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18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6D6BDA05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Détection et suivi par EA de la fragilisation par l'hydrogène lors de la corrosion sous contrainte.</w:t>
            </w:r>
          </w:p>
          <w:p w14:paraId="04EF7DDD">
            <w:pPr>
              <w:spacing w:after="20"/>
            </w:pP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M Perrin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L Gaillet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C Tessier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H Idrissi.</w:t>
            </w:r>
          </w:p>
          <w:p w14:paraId="14E9F9EF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Contrôles essais mesures, pp 50-55.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77337E74">
            <w:r>
              <w:rPr>
                <w:rFonts w:ascii="Calibri" w:hAnsi="Calibri" w:eastAsia="Calibri" w:cs="Calibri"/>
                <w:sz w:val="20"/>
                <w:szCs w:val="20"/>
              </w:rPr>
              <w:t>2009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76EB4A1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30064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4FE6A26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19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8C0F6D3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Intérêt de l'application de la technique d'émission acoustique dans la détection de la corrosion sous contrainte des câbles tendus utilisés dans les ouvrages d'art.</w:t>
            </w:r>
          </w:p>
          <w:p w14:paraId="089A8B87">
            <w:pPr>
              <w:spacing w:after="20"/>
            </w:pP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M Perrin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L Gaillet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C Tessier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H Idrissi.</w:t>
            </w:r>
          </w:p>
          <w:p w14:paraId="49D92072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COFREND 2008, pp 1-9.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29EC9C5">
            <w:r>
              <w:rPr>
                <w:rFonts w:ascii="Calibri" w:hAnsi="Calibri" w:eastAsia="Calibri" w:cs="Calibri"/>
                <w:sz w:val="20"/>
                <w:szCs w:val="20"/>
              </w:rPr>
              <w:t>2008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131D4A5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19268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330A6C0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20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0416D75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Détection et suivi par émission acoustique de la fragilisation par l'hydrogène lors de la corrosion sous contrainte des armatures de précontrainte.</w:t>
            </w:r>
          </w:p>
          <w:p w14:paraId="081F9263">
            <w:pPr>
              <w:spacing w:after="20"/>
            </w:pP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M Perrin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L Gaillet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C Tessier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H Idrissi.</w:t>
            </w:r>
          </w:p>
          <w:p w14:paraId="774DCD64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COFREND 2008, pp 1-9.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2D0D75B">
            <w:r>
              <w:rPr>
                <w:rFonts w:ascii="Calibri" w:hAnsi="Calibri" w:eastAsia="Calibri" w:cs="Calibri"/>
                <w:sz w:val="20"/>
                <w:szCs w:val="20"/>
              </w:rPr>
              <w:t>2008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62D790A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2EC95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E8C2052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21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6FBA993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Étude et contrôle de la corrosion sous contrainte des câbles tendus utilisés dans les ouvrages d'art en milieu alcalin chloruré: caractérisation de l'endommagement par émission</w:t>
            </w:r>
          </w:p>
          <w:p w14:paraId="6446EEDD">
            <w:pPr>
              <w:spacing w:after="20"/>
            </w:pP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Ramadan.</w:t>
            </w:r>
          </w:p>
          <w:p w14:paraId="40239177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Lyon, INSA 2008.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7D479858">
            <w:r>
              <w:rPr>
                <w:rFonts w:ascii="Calibri" w:hAnsi="Calibri" w:eastAsia="Calibri" w:cs="Calibri"/>
                <w:sz w:val="20"/>
                <w:szCs w:val="20"/>
              </w:rPr>
              <w:t>2008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BA581C1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120</w:t>
            </w:r>
          </w:p>
        </w:tc>
      </w:tr>
      <w:tr w14:paraId="1C1E8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B4A6ECC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22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B6883D1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The acoustic emission testing: A promising tool for the health structural monitoring of the compressed gas cylinder fully wrapped with composite materials.</w:t>
            </w:r>
          </w:p>
          <w:p w14:paraId="33F0B9B5">
            <w:pPr>
              <w:spacing w:after="20"/>
            </w:pP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S Yaacoubi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F Mandouze.</w:t>
            </w:r>
          </w:p>
          <w:p w14:paraId="2549C242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EWGAE 2010, Vienna, 8th to 10th September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7178655">
            <w:r>
              <w:rPr>
                <w:rFonts w:ascii="Calibri" w:hAnsi="Calibri" w:eastAsia="Calibri" w:cs="Calibri"/>
                <w:sz w:val="20"/>
                <w:szCs w:val="20"/>
              </w:rPr>
              <w:t>—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3482E0B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</w:tbl>
    <w:p w14:paraId="0652CB4E">
      <w:pPr>
        <w:keepNext/>
        <w:pBdr>
          <w:bottom w:val="single" w:color="1F3A5F" w:sz="8" w:space="4"/>
        </w:pBdr>
        <w:spacing w:before="360" w:after="160"/>
      </w:pPr>
      <w:bookmarkStart w:id="0" w:name="_GoBack"/>
      <w:bookmarkEnd w:id="0"/>
      <w:r>
        <w:rPr>
          <w:rFonts w:ascii="Calibri" w:hAnsi="Calibri" w:eastAsia="Calibri" w:cs="Calibri"/>
          <w:b/>
          <w:bCs/>
          <w:color w:val="1F3A5F"/>
          <w:sz w:val="26"/>
          <w:szCs w:val="26"/>
        </w:rPr>
        <w:t>IT PLATFORM &amp; Management</w:t>
      </w:r>
    </w:p>
    <w:tbl>
      <w:tblPr>
        <w:tblStyle w:val="9"/>
        <w:tblW w:w="9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60"/>
        <w:gridCol w:w="6900"/>
        <w:gridCol w:w="1000"/>
        <w:gridCol w:w="1406"/>
      </w:tblGrid>
      <w:tr w14:paraId="3432C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D8D23B4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#</w:t>
            </w:r>
          </w:p>
        </w:tc>
        <w:tc>
          <w:tcPr>
            <w:tcW w:w="6900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79E8E562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Reference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548C008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Year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66CFF34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Cited by</w:t>
            </w:r>
          </w:p>
        </w:tc>
      </w:tr>
      <w:tr w14:paraId="50CC7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834D666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24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6F3129A7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Lux KYC, Lux KYC, a Luxembourg AI platform for managing Customer Due Diligence and Anti-Money Laundering.</w:t>
            </w:r>
          </w:p>
          <w:p w14:paraId="78C5058F">
            <w:pPr>
              <w:spacing w:after="20"/>
            </w:pPr>
            <w:r>
              <w:rPr>
                <w:rFonts w:ascii="Calibri" w:hAnsi="Calibri" w:eastAsia="Calibri" w:cs="Calibri"/>
                <w:b/>
                <w:bCs/>
                <w:color w:val="1F3A5F"/>
                <w:sz w:val="18"/>
                <w:szCs w:val="18"/>
              </w:rPr>
              <w:t>S Ramadan</w:t>
            </w:r>
            <w:r>
              <w:rPr>
                <w:rFonts w:ascii="Calibri" w:hAnsi="Calibri" w:eastAsia="Calibri" w:cs="Calibri"/>
                <w:color w:val="6B7280"/>
                <w:sz w:val="18"/>
                <w:szCs w:val="18"/>
              </w:rPr>
              <w:t xml:space="preserve">, </w:t>
            </w:r>
            <w:r>
              <w:rPr>
                <w:rFonts w:ascii="Calibri" w:hAnsi="Calibri" w:eastAsia="Calibri" w:cs="Calibri"/>
                <w:b w:val="0"/>
                <w:bCs w:val="0"/>
                <w:color w:val="6B7280"/>
                <w:sz w:val="18"/>
                <w:szCs w:val="18"/>
              </w:rPr>
              <w:t>developper</w:t>
            </w:r>
          </w:p>
          <w:p w14:paraId="1D52CFE3">
            <w:pPr>
              <w:spacing w:before="100" w:after="60"/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4EC1D9F">
            <w:r>
              <w:rPr>
                <w:rFonts w:ascii="Calibri" w:hAnsi="Calibri" w:eastAsia="Calibri" w:cs="Calibri"/>
                <w:sz w:val="20"/>
                <w:szCs w:val="20"/>
              </w:rPr>
              <w:t>2026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CB68A34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</w:tbl>
    <w:p w14:paraId="6512A627">
      <w:pPr>
        <w:keepNext/>
        <w:pBdr>
          <w:bottom w:val="single" w:color="1F3A5F" w:sz="8" w:space="4"/>
        </w:pBdr>
        <w:spacing w:before="360" w:after="160"/>
      </w:pPr>
      <w:r>
        <w:rPr>
          <w:rFonts w:ascii="Calibri" w:hAnsi="Calibri" w:eastAsia="Calibri" w:cs="Calibri"/>
          <w:b/>
          <w:bCs/>
          <w:color w:val="1F3A5F"/>
          <w:sz w:val="26"/>
          <w:szCs w:val="26"/>
        </w:rPr>
        <w:t>Article Blog Press</w:t>
      </w:r>
    </w:p>
    <w:tbl>
      <w:tblPr>
        <w:tblStyle w:val="9"/>
        <w:tblW w:w="9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60"/>
        <w:gridCol w:w="6900"/>
        <w:gridCol w:w="1000"/>
        <w:gridCol w:w="1406"/>
      </w:tblGrid>
      <w:tr w14:paraId="605E9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6555DEBA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#</w:t>
            </w:r>
          </w:p>
        </w:tc>
        <w:tc>
          <w:tcPr>
            <w:tcW w:w="6900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420755F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Reference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2AE0A5C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Year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1F3A5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4741064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Cited by</w:t>
            </w:r>
          </w:p>
        </w:tc>
      </w:tr>
      <w:tr w14:paraId="5F277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E0EA47E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25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777AC6A2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Measure the Pace of Your KYC Process with the LuxKYC Agent.</w:t>
            </w:r>
          </w:p>
          <w:p w14:paraId="1C7DC140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Blog press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74FE386">
            <w:r>
              <w:rPr>
                <w:rFonts w:ascii="Calibri" w:hAnsi="Calibri" w:eastAsia="Calibri" w:cs="Calibri"/>
                <w:sz w:val="20"/>
                <w:szCs w:val="20"/>
              </w:rPr>
              <w:t>2026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E510235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3AE7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34AD9E0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26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246831B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Will AI completely disrupt the web designer’s job?</w:t>
            </w:r>
          </w:p>
          <w:p w14:paraId="666B1456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Blog press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E9F60CB">
            <w:r>
              <w:rPr>
                <w:rFonts w:ascii="Calibri" w:hAnsi="Calibri" w:eastAsia="Calibri" w:cs="Calibri"/>
                <w:sz w:val="20"/>
                <w:szCs w:val="20"/>
              </w:rPr>
              <w:t>2026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AD65B60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380F6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E54AE5E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27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4DE05A3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Are You Making These Critical Global Marketing Mistakes?</w:t>
            </w:r>
          </w:p>
          <w:p w14:paraId="2A7B0DAA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Blog press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0978C8B">
            <w:r>
              <w:rPr>
                <w:rFonts w:ascii="Calibri" w:hAnsi="Calibri" w:eastAsia="Calibri" w:cs="Calibri"/>
                <w:sz w:val="20"/>
                <w:szCs w:val="20"/>
              </w:rPr>
              <w:t>2026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038674F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62E44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6230E5FF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28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1BE9315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Is AI the Key to Easier KYC? Hype vs. Reality.</w:t>
            </w:r>
          </w:p>
          <w:p w14:paraId="3A07DD8A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Blog press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670274B">
            <w:r>
              <w:rPr>
                <w:rFonts w:ascii="Calibri" w:hAnsi="Calibri" w:eastAsia="Calibri" w:cs="Calibri"/>
                <w:sz w:val="20"/>
                <w:szCs w:val="20"/>
              </w:rPr>
              <w:t>2026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1C97F6A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0E04A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2A779AD4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29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AA6794D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Key Challenges of Anti-Money Laundering (AML) in Luxembourg’s Financial Sector.</w:t>
            </w:r>
          </w:p>
          <w:p w14:paraId="157B4E5F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Blog press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E5D7F7F">
            <w:r>
              <w:rPr>
                <w:rFonts w:ascii="Calibri" w:hAnsi="Calibri" w:eastAsia="Calibri" w:cs="Calibri"/>
                <w:sz w:val="20"/>
                <w:szCs w:val="20"/>
              </w:rPr>
              <w:t>2026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3D24BD58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2F924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62C24013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30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67D140A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The 5 Key Factors to Consider When Choosing a CRM System.</w:t>
            </w:r>
          </w:p>
          <w:p w14:paraId="4AB34B21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Blog press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126237C5">
            <w:r>
              <w:rPr>
                <w:rFonts w:ascii="Calibri" w:hAnsi="Calibri" w:eastAsia="Calibri" w:cs="Calibri"/>
                <w:sz w:val="20"/>
                <w:szCs w:val="20"/>
              </w:rPr>
              <w:t>2026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758FB45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  <w:tr w14:paraId="11067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45C90F32">
            <w:r>
              <w:rPr>
                <w:rFonts w:ascii="Calibri" w:hAnsi="Calibri" w:eastAsia="Calibri" w:cs="Calibri"/>
                <w:b/>
                <w:bCs/>
                <w:color w:val="1F3A5F"/>
                <w:sz w:val="20"/>
                <w:szCs w:val="20"/>
              </w:rPr>
              <w:t>31</w:t>
            </w:r>
          </w:p>
        </w:tc>
        <w:tc>
          <w:tcPr>
            <w:tcW w:w="69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05E9F6D0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111827"/>
                <w:sz w:val="21"/>
                <w:szCs w:val="21"/>
              </w:rPr>
              <w:t>China as a Source of Cutting-Edge Research &amp; Innovation.</w:t>
            </w:r>
          </w:p>
          <w:p w14:paraId="7D065D35">
            <w:r>
              <w:rPr>
                <w:rFonts w:ascii="Calibri" w:hAnsi="Calibri" w:eastAsia="Calibri" w:cs="Calibri"/>
                <w:i/>
                <w:iCs/>
                <w:color w:val="6B7280"/>
                <w:sz w:val="18"/>
                <w:szCs w:val="18"/>
              </w:rPr>
              <w:t>London Business School - GBA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5BA3EA1">
            <w:r>
              <w:rPr>
                <w:rFonts w:ascii="Calibri" w:hAnsi="Calibri" w:eastAsia="Calibri" w:cs="Calibri"/>
                <w:sz w:val="20"/>
                <w:szCs w:val="20"/>
              </w:rPr>
              <w:t>2019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D9DEE5" w:sz="4" w:space="0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7150D12">
            <w:r>
              <w:rPr>
                <w:rFonts w:ascii="Calibri" w:hAnsi="Calibri" w:eastAsia="Calibri" w:cs="Calibri"/>
                <w:color w:val="6B7280"/>
                <w:sz w:val="20"/>
                <w:szCs w:val="20"/>
              </w:rPr>
              <w:t>—</w:t>
            </w:r>
          </w:p>
        </w:tc>
      </w:tr>
    </w:tbl>
    <w:p w14:paraId="40E7B097"/>
    <w:sectPr>
      <w:footerReference r:id="rId3" w:type="default"/>
      <w:pgSz w:w="11906" w:h="16838"/>
      <w:pgMar w:top="1000" w:right="1020" w:bottom="1000" w:left="1020" w:header="708" w:footer="50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92BDF">
    <w:pPr>
      <w:pBdr>
        <w:top w:val="single" w:color="D9DEE5" w:sz="4" w:space="6"/>
      </w:pBdr>
      <w:tabs>
        <w:tab w:val="right" w:pos="9866"/>
      </w:tabs>
    </w:pPr>
    <w:r>
      <w:rPr>
        <w:rFonts w:ascii="Calibri" w:hAnsi="Calibri" w:eastAsia="Calibri" w:cs="Calibri"/>
        <w:color w:val="6B7280"/>
        <w:sz w:val="16"/>
        <w:szCs w:val="16"/>
      </w:rPr>
      <w:t>Dr. Ramadan Salah — Selected Publications, Conferences &amp; Patent</w:t>
    </w:r>
    <w:r>
      <w:rPr>
        <w:rFonts w:ascii="Calibri" w:hAnsi="Calibri" w:eastAsia="Calibri" w:cs="Calibri"/>
        <w:color w:val="6B7280"/>
        <w:sz w:val="16"/>
        <w:szCs w:val="16"/>
      </w:rPr>
      <w:tab/>
    </w:r>
    <w:r>
      <w:rPr>
        <w:rFonts w:ascii="Calibri" w:hAnsi="Calibri" w:eastAsia="Calibri" w:cs="Calibri"/>
        <w:color w:val="6B7280"/>
        <w:sz w:val="16"/>
        <w:szCs w:val="16"/>
      </w:rPr>
      <w:t xml:space="preserve">Page </w:t>
    </w:r>
    <w:r>
      <w:rPr>
        <w:rFonts w:ascii="Calibri" w:hAnsi="Calibri" w:eastAsia="Calibri" w:cs="Calibri"/>
        <w:color w:val="6B7280"/>
        <w:sz w:val="16"/>
        <w:szCs w:val="16"/>
      </w:rPr>
      <w:fldChar w:fldCharType="begin"/>
    </w:r>
    <w:r>
      <w:rPr>
        <w:rFonts w:ascii="Calibri" w:hAnsi="Calibri" w:eastAsia="Calibri" w:cs="Calibri"/>
        <w:color w:val="6B7280"/>
        <w:sz w:val="16"/>
        <w:szCs w:val="16"/>
      </w:rPr>
      <w:instrText xml:space="preserve">PAGE</w:instrText>
    </w:r>
    <w:r>
      <w:rPr>
        <w:rFonts w:ascii="Calibri" w:hAnsi="Calibri" w:eastAsia="Calibri" w:cs="Calibri"/>
        <w:color w:val="6B7280"/>
        <w:sz w:val="16"/>
        <w:szCs w:val="16"/>
      </w:rPr>
      <w:fldChar w:fldCharType="separate"/>
    </w:r>
    <w:r>
      <w:rPr>
        <w:rFonts w:ascii="Calibri" w:hAnsi="Calibri" w:eastAsia="Calibri" w:cs="Calibri"/>
        <w:color w:val="6B7280"/>
        <w:sz w:val="16"/>
        <w:szCs w:val="16"/>
      </w:rPr>
      <w:fldChar w:fldCharType="end"/>
    </w:r>
    <w:r>
      <w:rPr>
        <w:rFonts w:ascii="Calibri" w:hAnsi="Calibri" w:eastAsia="Calibri" w:cs="Calibri"/>
        <w:color w:val="6B7280"/>
        <w:sz w:val="16"/>
        <w:szCs w:val="16"/>
      </w:rPr>
      <w:t xml:space="preserve"> / </w:t>
    </w:r>
    <w:r>
      <w:rPr>
        <w:rFonts w:ascii="Calibri" w:hAnsi="Calibri" w:eastAsia="Calibri" w:cs="Calibri"/>
        <w:color w:val="6B7280"/>
        <w:sz w:val="16"/>
        <w:szCs w:val="16"/>
      </w:rPr>
      <w:fldChar w:fldCharType="begin"/>
    </w:r>
    <w:r>
      <w:rPr>
        <w:rFonts w:ascii="Calibri" w:hAnsi="Calibri" w:eastAsia="Calibri" w:cs="Calibri"/>
        <w:color w:val="6B7280"/>
        <w:sz w:val="16"/>
        <w:szCs w:val="16"/>
      </w:rPr>
      <w:instrText xml:space="preserve">NUMPAGES</w:instrText>
    </w:r>
    <w:r>
      <w:rPr>
        <w:rFonts w:ascii="Calibri" w:hAnsi="Calibri" w:eastAsia="Calibri" w:cs="Calibri"/>
        <w:color w:val="6B7280"/>
        <w:sz w:val="16"/>
        <w:szCs w:val="16"/>
      </w:rPr>
      <w:fldChar w:fldCharType="separate"/>
    </w:r>
    <w:r>
      <w:rPr>
        <w:rFonts w:ascii="Calibri" w:hAnsi="Calibri" w:eastAsia="Calibri" w:cs="Calibri"/>
        <w:color w:val="6B7280"/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05A944CA"/>
    <w:rsid w:val="32724DD0"/>
    <w:rsid w:val="42A303B1"/>
    <w:rsid w:val="57EA3EC9"/>
    <w:rsid w:val="652700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0"/>
      <w:szCs w:val="20"/>
    </w:rPr>
  </w:style>
  <w:style w:type="paragraph" w:styleId="2">
    <w:name w:val="heading 1"/>
    <w:next w:val="1"/>
    <w:qFormat/>
    <w:uiPriority w:val="0"/>
    <w:rPr>
      <w:rFonts w:ascii="Calibri" w:hAnsi="Calibri" w:eastAsia="Calibri" w:cs="Calibr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Calibri" w:hAnsi="Calibri" w:eastAsia="Calibri" w:cs="Calibr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Calibri" w:hAnsi="Calibri" w:eastAsia="Calibri" w:cs="Calibr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Calibri" w:hAnsi="Calibri" w:eastAsia="Calibri" w:cs="Calibri"/>
      <w:i/>
      <w:iCs/>
      <w:color w:val="2E74B5"/>
      <w:sz w:val="20"/>
      <w:szCs w:val="20"/>
    </w:rPr>
  </w:style>
  <w:style w:type="paragraph" w:styleId="6">
    <w:name w:val="heading 5"/>
    <w:next w:val="1"/>
    <w:qFormat/>
    <w:uiPriority w:val="0"/>
    <w:rPr>
      <w:rFonts w:ascii="Calibri" w:hAnsi="Calibri" w:eastAsia="Calibri" w:cs="Calibri"/>
      <w:color w:val="2E74B5"/>
      <w:sz w:val="20"/>
      <w:szCs w:val="20"/>
    </w:rPr>
  </w:style>
  <w:style w:type="paragraph" w:styleId="7">
    <w:name w:val="heading 6"/>
    <w:next w:val="1"/>
    <w:qFormat/>
    <w:uiPriority w:val="0"/>
    <w:rPr>
      <w:rFonts w:ascii="Calibri" w:hAnsi="Calibri" w:eastAsia="Calibri" w:cs="Calibri"/>
      <w:color w:val="1F4D78"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9"/>
    <w:semiHidden/>
    <w:unhideWhenUsed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character" w:styleId="12">
    <w:name w:val="FollowedHyperlink"/>
    <w:basedOn w:val="8"/>
    <w:uiPriority w:val="0"/>
    <w:rPr>
      <w:color w:val="800080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footnote text"/>
    <w:link w:val="18"/>
    <w:semiHidden/>
    <w:unhideWhenUsed/>
    <w:qFormat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paragraph" w:styleId="16">
    <w:name w:val="Title"/>
    <w:qFormat/>
    <w:uiPriority w:val="0"/>
    <w:rPr>
      <w:rFonts w:ascii="Calibri" w:hAnsi="Calibri" w:eastAsia="Calibri" w:cs="Calibri"/>
      <w:sz w:val="56"/>
      <w:szCs w:val="56"/>
    </w:rPr>
  </w:style>
  <w:style w:type="paragraph" w:styleId="17">
    <w:name w:val="List Paragraph"/>
    <w:qFormat/>
    <w:uiPriority w:val="0"/>
    <w:rPr>
      <w:rFonts w:ascii="Calibri" w:hAnsi="Calibri" w:eastAsia="Calibri" w:cs="Calibri"/>
      <w:sz w:val="20"/>
      <w:szCs w:val="20"/>
    </w:rPr>
  </w:style>
  <w:style w:type="character" w:customStyle="1" w:styleId="18">
    <w:name w:val="Footnote Text Char"/>
    <w:link w:val="14"/>
    <w:semiHidden/>
    <w:unhideWhenUsed/>
    <w:uiPriority w:val="99"/>
    <w:rPr>
      <w:sz w:val="20"/>
      <w:szCs w:val="20"/>
    </w:rPr>
  </w:style>
  <w:style w:type="character" w:customStyle="1" w:styleId="19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940</Words>
  <Characters>5175</Characters>
  <TotalTime>23</TotalTime>
  <ScaleCrop>false</ScaleCrop>
  <LinksUpToDate>false</LinksUpToDate>
  <CharactersWithSpaces>5909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2026-10-28T18:18:00Z</dcterms:created>
  <dc:creator>Salah Ramadan</dc:creator>
  <cp:lastModifiedBy>Salah Ramadan</cp:lastModifiedBy>
  <dcterms:modified xsi:type="dcterms:W3CDTF">2026-10-28T18:52:10Z</dcterms:modified>
  <dc:title>Selected Publications, Conferences &amp; Patent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eyJoZGlkIjoiN2ZiNzdjMWNiOTE3YTZlOTBkNDZlMjllMTk5YjMzMzMiLCJ1c2VySWQiOiIzNzEwODUzMDE3OTA5In0=</vt:lpwstr>
  </property>
  <property fmtid="{D5CDD505-2E9C-101B-9397-08002B2CF9AE}" pid="3" name="KSOProductBuildVer">
    <vt:lpwstr>1033-12.1.0.29162</vt:lpwstr>
  </property>
  <property fmtid="{D5CDD505-2E9C-101B-9397-08002B2CF9AE}" pid="4" name="ICV">
    <vt:lpwstr>E10F5293D72B4EB4A85DB5B8CE3E2FD5_13</vt:lpwstr>
  </property>
</Properties>
</file>